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ind w:firstLine="435"/>
        <w:jc w:val="center"/>
        <w:rPr>
          <w:rFonts w:hint="eastAsia"/>
          <w:b/>
          <w:bCs/>
          <w:sz w:val="28"/>
        </w:rPr>
      </w:pPr>
    </w:p>
    <w:p>
      <w:pPr>
        <w:jc w:val="center"/>
        <w:rPr>
          <w:b/>
          <w:bCs/>
          <w:sz w:val="28"/>
        </w:rPr>
      </w:pPr>
    </w:p>
    <w:p>
      <w:pPr>
        <w:jc w:val="center"/>
        <w:rPr>
          <w:b/>
          <w:bCs/>
          <w:sz w:val="28"/>
        </w:rPr>
      </w:pPr>
    </w:p>
    <w:p>
      <w:pPr>
        <w:jc w:val="center"/>
        <w:rPr>
          <w:b/>
          <w:bCs/>
          <w:sz w:val="28"/>
        </w:rPr>
      </w:pPr>
    </w:p>
    <w:p>
      <w:pPr>
        <w:jc w:val="center"/>
        <w:rPr>
          <w:b/>
          <w:bCs/>
          <w:sz w:val="28"/>
        </w:rPr>
      </w:pPr>
      <w:r>
        <w:rPr>
          <w:b/>
          <w:bCs/>
          <w:sz w:val="28"/>
        </w:rPr>
        <w:t>中华人民共和国海事局</w:t>
      </w:r>
    </w:p>
    <w:p>
      <w:pPr>
        <w:jc w:val="center"/>
        <w:rPr>
          <w:b/>
          <w:bCs/>
          <w:sz w:val="28"/>
        </w:rPr>
      </w:pPr>
    </w:p>
    <w:p>
      <w:pPr>
        <w:jc w:val="center"/>
        <w:rPr>
          <w:b/>
          <w:bCs/>
          <w:sz w:val="28"/>
        </w:rPr>
      </w:pPr>
    </w:p>
    <w:p>
      <w:pPr>
        <w:jc w:val="center"/>
        <w:rPr>
          <w:b/>
          <w:bCs/>
          <w:sz w:val="44"/>
        </w:rPr>
      </w:pPr>
      <w:r>
        <w:rPr>
          <w:rFonts w:hint="eastAsia"/>
          <w:b/>
          <w:bCs/>
          <w:sz w:val="44"/>
        </w:rPr>
        <w:t>船舶与海上设施法定检验规则</w:t>
      </w:r>
    </w:p>
    <w:p>
      <w:pPr>
        <w:jc w:val="center"/>
        <w:rPr>
          <w:b/>
          <w:bCs/>
          <w:szCs w:val="21"/>
        </w:rPr>
      </w:pPr>
    </w:p>
    <w:p>
      <w:pPr>
        <w:jc w:val="center"/>
        <w:rPr>
          <w:b/>
          <w:bCs/>
          <w:sz w:val="44"/>
        </w:rPr>
      </w:pPr>
    </w:p>
    <w:p>
      <w:pPr>
        <w:jc w:val="center"/>
        <w:rPr>
          <w:b/>
          <w:bCs/>
          <w:sz w:val="28"/>
        </w:rPr>
      </w:pPr>
      <w:r>
        <w:rPr>
          <w:b/>
          <w:bCs/>
          <w:sz w:val="28"/>
        </w:rPr>
        <w:t>国内航行海船法定检验技术规则</w:t>
      </w:r>
    </w:p>
    <w:p>
      <w:pPr>
        <w:jc w:val="center"/>
        <w:rPr>
          <w:b/>
          <w:bCs/>
          <w:szCs w:val="21"/>
        </w:rPr>
      </w:pPr>
    </w:p>
    <w:p>
      <w:pPr>
        <w:tabs>
          <w:tab w:val="left" w:pos="2410"/>
          <w:tab w:val="left" w:pos="4820"/>
        </w:tabs>
        <w:jc w:val="center"/>
      </w:pPr>
    </w:p>
    <w:p>
      <w:pPr>
        <w:tabs>
          <w:tab w:val="left" w:pos="2410"/>
          <w:tab w:val="left" w:pos="4820"/>
        </w:tabs>
        <w:jc w:val="center"/>
        <w:rPr>
          <w:rFonts w:hint="eastAsia" w:eastAsia="宋体"/>
          <w:b/>
          <w:bCs/>
          <w:sz w:val="28"/>
          <w:lang w:eastAsia="zh-CN"/>
        </w:rPr>
      </w:pPr>
      <w:r>
        <w:rPr>
          <w:b/>
          <w:bCs/>
          <w:sz w:val="28"/>
        </w:rPr>
        <w:t>201</w:t>
      </w:r>
      <w:r>
        <w:rPr>
          <w:rFonts w:hint="eastAsia"/>
          <w:b/>
          <w:bCs/>
          <w:sz w:val="28"/>
          <w:lang w:val="en-US" w:eastAsia="zh-CN"/>
        </w:rPr>
        <w:t>9</w:t>
      </w:r>
    </w:p>
    <w:p>
      <w:pPr>
        <w:tabs>
          <w:tab w:val="left" w:pos="2410"/>
          <w:tab w:val="left" w:pos="4820"/>
        </w:tabs>
        <w:jc w:val="center"/>
      </w:pPr>
    </w:p>
    <w:p>
      <w:bookmarkStart w:id="0" w:name="_GoBack"/>
      <w:bookmarkEnd w:id="0"/>
    </w:p>
    <w:p/>
    <w:p/>
    <w:p>
      <w:pPr>
        <w:jc w:val="center"/>
        <w:rPr>
          <w:b/>
          <w:bCs/>
          <w:sz w:val="28"/>
        </w:rPr>
      </w:pPr>
      <w:r>
        <w:rPr>
          <w:b/>
          <w:bCs/>
          <w:sz w:val="28"/>
        </w:rPr>
        <w:t>总    则</w:t>
      </w:r>
    </w:p>
    <w:p>
      <w:pPr>
        <w:jc w:val="center"/>
        <w:rPr>
          <w:b/>
          <w:bCs/>
          <w:sz w:val="28"/>
        </w:rPr>
      </w:pPr>
    </w:p>
    <w:p>
      <w:pPr>
        <w:jc w:val="center"/>
        <w:rPr>
          <w:b/>
          <w:bCs/>
          <w:sz w:val="28"/>
        </w:rPr>
      </w:pPr>
      <w:r>
        <w:rPr>
          <w:rFonts w:hint="eastAsia"/>
          <w:b/>
          <w:bCs/>
          <w:sz w:val="28"/>
        </w:rPr>
        <w:t>（</w:t>
      </w:r>
      <w:r>
        <w:rPr>
          <w:rFonts w:hint="eastAsia"/>
          <w:b/>
          <w:bCs/>
          <w:sz w:val="28"/>
          <w:lang w:eastAsia="zh-CN"/>
        </w:rPr>
        <w:t>补充</w:t>
      </w:r>
      <w:r>
        <w:rPr>
          <w:rFonts w:hint="eastAsia"/>
          <w:b/>
          <w:bCs/>
          <w:sz w:val="28"/>
        </w:rPr>
        <w:t>征求意见稿）</w:t>
      </w:r>
    </w:p>
    <w:p>
      <w:pPr>
        <w:spacing w:line="360" w:lineRule="auto"/>
      </w:pPr>
    </w:p>
    <w:p>
      <w:pPr>
        <w:sectPr>
          <w:footerReference r:id="rId4" w:type="even"/>
          <w:pgSz w:w="11907" w:h="16840"/>
          <w:pgMar w:top="1418" w:right="1134" w:bottom="1418" w:left="1418" w:header="964" w:footer="567" w:gutter="0"/>
          <w:cols w:space="720" w:num="1"/>
          <w:docGrid w:linePitch="312" w:charSpace="0"/>
        </w:sectPr>
      </w:pPr>
    </w:p>
    <w:p>
      <w:pPr>
        <w:pStyle w:val="2"/>
        <w:spacing w:before="0" w:after="0" w:line="240" w:lineRule="auto"/>
        <w:jc w:val="center"/>
        <w:rPr>
          <w:rFonts w:ascii="黑体" w:eastAsia="黑体"/>
          <w:b w:val="0"/>
          <w:sz w:val="32"/>
          <w:szCs w:val="32"/>
        </w:rPr>
      </w:pPr>
    </w:p>
    <w:p>
      <w:pPr>
        <w:pStyle w:val="2"/>
        <w:spacing w:before="0" w:after="0" w:line="240" w:lineRule="auto"/>
        <w:jc w:val="center"/>
        <w:rPr>
          <w:rFonts w:ascii="黑体" w:eastAsia="黑体"/>
          <w:b w:val="0"/>
          <w:sz w:val="32"/>
          <w:szCs w:val="32"/>
        </w:rPr>
      </w:pPr>
    </w:p>
    <w:p>
      <w:pPr>
        <w:widowControl/>
        <w:jc w:val="left"/>
        <w:rPr>
          <w:rFonts w:ascii="黑体" w:eastAsia="黑体"/>
          <w:color w:val="00B0F0"/>
          <w:kern w:val="28"/>
          <w:sz w:val="32"/>
          <w:szCs w:val="32"/>
        </w:rPr>
      </w:pPr>
      <w:r>
        <w:rPr>
          <w:rFonts w:ascii="黑体" w:eastAsia="黑体"/>
          <w:b/>
          <w:color w:val="00B0F0"/>
          <w:sz w:val="32"/>
          <w:szCs w:val="32"/>
        </w:rPr>
        <w:br w:type="page"/>
      </w:r>
    </w:p>
    <w:p>
      <w:pPr>
        <w:pStyle w:val="2"/>
        <w:spacing w:before="0" w:after="0" w:line="240" w:lineRule="auto"/>
        <w:jc w:val="center"/>
        <w:rPr>
          <w:rFonts w:ascii="黑体" w:eastAsia="黑体"/>
          <w:b w:val="0"/>
          <w:color w:val="0000FF"/>
          <w:sz w:val="32"/>
          <w:szCs w:val="32"/>
        </w:rPr>
      </w:pPr>
      <w:r>
        <w:rPr>
          <w:rFonts w:hint="eastAsia" w:ascii="黑体" w:eastAsia="黑体"/>
          <w:b w:val="0"/>
          <w:color w:val="0000FF"/>
          <w:sz w:val="32"/>
          <w:szCs w:val="32"/>
        </w:rPr>
        <w:t>简要编写说明</w:t>
      </w:r>
    </w:p>
    <w:p>
      <w:pPr>
        <w:pStyle w:val="2"/>
        <w:spacing w:before="0" w:after="0" w:line="240" w:lineRule="auto"/>
        <w:jc w:val="center"/>
        <w:rPr>
          <w:rFonts w:ascii="黑体" w:eastAsia="黑体"/>
          <w:b w:val="0"/>
          <w:color w:val="0000FF"/>
          <w:sz w:val="32"/>
          <w:szCs w:val="32"/>
        </w:rPr>
      </w:pPr>
    </w:p>
    <w:p>
      <w:pPr>
        <w:spacing w:line="360" w:lineRule="auto"/>
        <w:ind w:firstLine="480" w:firstLineChars="200"/>
        <w:rPr>
          <w:rFonts w:ascii="宋体" w:hAnsi="宋体"/>
          <w:color w:val="0000FF"/>
          <w:sz w:val="24"/>
        </w:rPr>
      </w:pPr>
      <w:r>
        <w:rPr>
          <w:rFonts w:hint="eastAsia" w:ascii="宋体" w:hAnsi="宋体"/>
          <w:color w:val="0000FF"/>
          <w:sz w:val="24"/>
        </w:rPr>
        <w:t>总则部分根据相关反馈信息和使用需求，</w:t>
      </w:r>
      <w:r>
        <w:rPr>
          <w:rFonts w:hint="eastAsia" w:ascii="宋体" w:hAnsi="宋体"/>
          <w:color w:val="0000FF"/>
          <w:sz w:val="24"/>
          <w:lang w:eastAsia="zh-CN"/>
        </w:rPr>
        <w:t>在初稿基础上</w:t>
      </w:r>
      <w:r>
        <w:rPr>
          <w:rFonts w:hint="eastAsia" w:ascii="宋体" w:hAnsi="宋体"/>
          <w:color w:val="0000FF"/>
          <w:sz w:val="24"/>
        </w:rPr>
        <w:t>再次</w:t>
      </w:r>
      <w:r>
        <w:rPr>
          <w:rFonts w:hint="eastAsia" w:ascii="宋体" w:hAnsi="宋体"/>
          <w:color w:val="0000FF"/>
          <w:sz w:val="24"/>
          <w:lang w:eastAsia="zh-CN"/>
        </w:rPr>
        <w:t>作如下主要补充</w:t>
      </w:r>
      <w:r>
        <w:rPr>
          <w:rFonts w:hint="eastAsia" w:ascii="宋体" w:hAnsi="宋体"/>
          <w:color w:val="0000FF"/>
          <w:sz w:val="24"/>
        </w:rPr>
        <w:t>修订：</w:t>
      </w:r>
    </w:p>
    <w:p>
      <w:pPr>
        <w:numPr>
          <w:ilvl w:val="0"/>
          <w:numId w:val="1"/>
        </w:numPr>
        <w:spacing w:line="360" w:lineRule="auto"/>
        <w:rPr>
          <w:rFonts w:hint="eastAsia" w:ascii="宋体" w:hAnsi="宋体"/>
          <w:color w:val="0000FF"/>
          <w:sz w:val="24"/>
        </w:rPr>
      </w:pPr>
      <w:r>
        <w:rPr>
          <w:rFonts w:hint="eastAsia" w:ascii="宋体" w:hAnsi="宋体"/>
          <w:color w:val="0000FF"/>
          <w:sz w:val="24"/>
        </w:rPr>
        <w:t>结合国内邮轮的发展需求，在第5条中新增替代设计指向性标准，以便使用。</w:t>
      </w:r>
    </w:p>
    <w:p>
      <w:pPr>
        <w:pStyle w:val="25"/>
        <w:spacing w:line="360" w:lineRule="auto"/>
        <w:ind w:left="360" w:hanging="360" w:hangingChars="150"/>
        <w:jc w:val="left"/>
        <w:rPr>
          <w:color w:val="0000FF"/>
          <w:sz w:val="24"/>
        </w:rPr>
      </w:pPr>
      <w:r>
        <w:rPr>
          <w:rFonts w:hint="eastAsia" w:ascii="宋体" w:hAnsi="宋体"/>
          <w:color w:val="0000FF"/>
          <w:sz w:val="24"/>
        </w:rPr>
        <w:t>2、根据“国内船舶重大改装研讨集中办公会”讨论结果增加对主推进系统改变的脚注说明，以便实施。</w:t>
      </w:r>
    </w:p>
    <w:p>
      <w:pPr>
        <w:numPr>
          <w:ilvl w:val="0"/>
          <w:numId w:val="1"/>
        </w:numPr>
        <w:spacing w:line="360" w:lineRule="auto"/>
        <w:rPr>
          <w:rFonts w:ascii="宋体" w:hAnsi="宋体" w:cs="宋体"/>
          <w:color w:val="0000FF"/>
          <w:sz w:val="24"/>
        </w:rPr>
      </w:pPr>
      <w:r>
        <w:rPr>
          <w:rFonts w:hint="eastAsia" w:ascii="宋体" w:hAnsi="宋体" w:cs="宋体"/>
          <w:bCs/>
          <w:color w:val="0000FF"/>
          <w:sz w:val="24"/>
        </w:rPr>
        <w:br w:type="page"/>
      </w:r>
    </w:p>
    <w:p>
      <w:pPr>
        <w:pStyle w:val="2"/>
        <w:spacing w:before="0" w:after="0" w:line="360" w:lineRule="auto"/>
        <w:ind w:firstLine="140" w:firstLineChars="44"/>
        <w:jc w:val="center"/>
        <w:rPr>
          <w:rFonts w:ascii="黑体" w:eastAsia="黑体"/>
          <w:b w:val="0"/>
          <w:sz w:val="32"/>
          <w:szCs w:val="32"/>
        </w:rPr>
      </w:pPr>
      <w:r>
        <w:rPr>
          <w:rFonts w:hint="eastAsia" w:ascii="黑体" w:eastAsia="黑体"/>
          <w:b w:val="0"/>
          <w:sz w:val="32"/>
          <w:szCs w:val="32"/>
        </w:rPr>
        <w:t>总</w:t>
      </w:r>
      <w:r>
        <w:rPr>
          <w:rFonts w:ascii="黑体" w:eastAsia="黑体"/>
          <w:b w:val="0"/>
          <w:sz w:val="32"/>
          <w:szCs w:val="32"/>
        </w:rPr>
        <w:t xml:space="preserve">    </w:t>
      </w:r>
      <w:r>
        <w:rPr>
          <w:rFonts w:hint="eastAsia" w:ascii="黑体" w:eastAsia="黑体"/>
          <w:b w:val="0"/>
          <w:sz w:val="32"/>
          <w:szCs w:val="32"/>
        </w:rPr>
        <w:t>则</w:t>
      </w:r>
    </w:p>
    <w:p>
      <w:pPr>
        <w:jc w:val="center"/>
        <w:rPr>
          <w:b/>
          <w:bCs/>
          <w:szCs w:val="21"/>
        </w:rPr>
      </w:pPr>
    </w:p>
    <w:p>
      <w:pPr>
        <w:rPr>
          <w:b/>
          <w:bCs/>
          <w:color w:val="FF0000"/>
        </w:rPr>
      </w:pPr>
      <w:r>
        <w:t xml:space="preserve"> </w:t>
      </w:r>
      <w:r>
        <w:rPr>
          <w:rFonts w:hint="eastAsia"/>
        </w:rPr>
        <w:t xml:space="preserve">   </w:t>
      </w:r>
    </w:p>
    <w:p>
      <w:pPr>
        <w:ind w:firstLine="422" w:firstLineChars="200"/>
        <w:rPr>
          <w:b/>
          <w:bCs/>
        </w:rPr>
      </w:pPr>
      <w:r>
        <w:rPr>
          <w:rFonts w:hint="eastAsia"/>
          <w:b/>
          <w:bCs/>
          <w:color w:val="FF0000"/>
        </w:rPr>
        <w:t>5</w:t>
      </w:r>
      <w:r>
        <w:rPr>
          <w:b/>
          <w:bCs/>
          <w:color w:val="FF0000"/>
        </w:rPr>
        <w:t xml:space="preserve"> </w:t>
      </w:r>
      <w:r>
        <w:rPr>
          <w:b/>
          <w:bCs/>
        </w:rPr>
        <w:t xml:space="preserve"> </w:t>
      </w:r>
      <w:r>
        <w:rPr>
          <w:rFonts w:hint="eastAsia"/>
          <w:b/>
          <w:bCs/>
        </w:rPr>
        <w:t>等效</w:t>
      </w:r>
      <w:r>
        <w:rPr>
          <w:rFonts w:hint="eastAsia"/>
          <w:b/>
          <w:bCs/>
          <w:color w:val="FF0000"/>
          <w:u w:val="single"/>
        </w:rPr>
        <w:t>与替代设计</w:t>
      </w:r>
      <w:r>
        <w:rPr>
          <w:rFonts w:hint="eastAsia"/>
          <w:b/>
          <w:bCs/>
        </w:rPr>
        <w:t xml:space="preserve"> </w:t>
      </w:r>
    </w:p>
    <w:p>
      <w:pPr>
        <w:ind w:firstLine="450"/>
        <w:rPr>
          <w:rFonts w:cs="宋体"/>
          <w:color w:val="FF0000"/>
          <w:kern w:val="0"/>
          <w:u w:val="single"/>
          <w:lang w:val="zh-CN"/>
        </w:rPr>
      </w:pPr>
      <w:r>
        <w:rPr>
          <w:color w:val="FF0000"/>
          <w:u w:val="single"/>
        </w:rPr>
        <w:t xml:space="preserve">5.2 </w:t>
      </w:r>
      <w:r>
        <w:rPr>
          <w:rFonts w:hint="eastAsia"/>
          <w:color w:val="FF0000"/>
          <w:u w:val="single"/>
        </w:rPr>
        <w:t>在应用本法规相关篇章时，如采用替代设计方法，应执行本局《国际航行海船法定检验技术规则》总则中的“附录 船舶替代设计实施要</w:t>
      </w:r>
      <w:r>
        <w:rPr>
          <w:rFonts w:hint="eastAsia"/>
          <w:color w:val="FF0000"/>
          <w:kern w:val="0"/>
          <w:u w:val="single"/>
        </w:rPr>
        <w:t>求”，并</w:t>
      </w:r>
      <w:r>
        <w:rPr>
          <w:rFonts w:hint="eastAsia"/>
          <w:color w:val="FF0000"/>
          <w:u w:val="single"/>
        </w:rPr>
        <w:t>考虑本局《国际航行海船法定检验技术规则》相关篇章引用的国际海事组织的相关指南，</w:t>
      </w:r>
      <w:r>
        <w:rPr>
          <w:rFonts w:hint="eastAsia"/>
          <w:color w:val="FF0000"/>
          <w:kern w:val="0"/>
          <w:u w:val="single"/>
        </w:rPr>
        <w:t>确保</w:t>
      </w:r>
      <w:r>
        <w:rPr>
          <w:rFonts w:hint="eastAsia"/>
          <w:color w:val="FF0000"/>
          <w:u w:val="single"/>
        </w:rPr>
        <w:t>满足相关篇章规定的替代设计的要求。</w:t>
      </w:r>
      <w:r>
        <w:rPr>
          <w:rFonts w:hint="eastAsia" w:cs="宋体"/>
          <w:color w:val="FF0000"/>
          <w:kern w:val="0"/>
          <w:u w:val="single"/>
          <w:lang w:val="zh-CN"/>
        </w:rPr>
        <w:t>”</w:t>
      </w:r>
    </w:p>
    <w:p>
      <w:pPr>
        <w:ind w:firstLine="450"/>
        <w:rPr>
          <w:color w:val="FF0000"/>
          <w:sz w:val="24"/>
        </w:rPr>
      </w:pPr>
    </w:p>
    <w:p>
      <w:pPr>
        <w:rPr>
          <w:b/>
          <w:bCs/>
        </w:rPr>
      </w:pPr>
      <w:r>
        <w:t xml:space="preserve">   </w:t>
      </w:r>
      <w:r>
        <w:rPr>
          <w:b/>
          <w:bCs/>
        </w:rPr>
        <w:t xml:space="preserve"> 1</w:t>
      </w:r>
      <w:r>
        <w:rPr>
          <w:rFonts w:hint="eastAsia"/>
          <w:b/>
          <w:bCs/>
        </w:rPr>
        <w:t>1</w:t>
      </w:r>
      <w:r>
        <w:rPr>
          <w:b/>
          <w:bCs/>
        </w:rPr>
        <w:t xml:space="preserve">  </w:t>
      </w:r>
      <w:r>
        <w:rPr>
          <w:rFonts w:hint="eastAsia"/>
          <w:b/>
          <w:bCs/>
        </w:rPr>
        <w:t>定义</w:t>
      </w:r>
    </w:p>
    <w:p>
      <w:r>
        <w:t xml:space="preserve">  </w:t>
      </w:r>
      <w:r>
        <w:rPr>
          <w:rFonts w:hint="eastAsia"/>
        </w:rPr>
        <w:t xml:space="preserve">  (20) 重大改建：系指</w:t>
      </w:r>
      <w:r>
        <w:rPr>
          <w:rFonts w:hint="eastAsia" w:ascii="Calibri" w:hAnsi="Calibri"/>
        </w:rPr>
        <w:t>改变船舶主尺度、船舶类型、分舱水平、承载能力、乘客居住处所、主推进系统</w:t>
      </w:r>
      <w:r>
        <w:rPr>
          <w:rStyle w:val="15"/>
          <w:rFonts w:ascii="宋体" w:hAnsi="宋体"/>
          <w:color w:val="FF0000"/>
          <w:szCs w:val="21"/>
          <w:u w:val="single"/>
        </w:rPr>
        <w:footnoteReference w:id="0"/>
      </w:r>
      <w:r>
        <w:rPr>
          <w:rFonts w:hint="eastAsia" w:ascii="Calibri" w:hAnsi="Calibri"/>
        </w:rPr>
        <w:t>、</w:t>
      </w:r>
      <w:r>
        <w:rPr>
          <w:rFonts w:hint="eastAsia"/>
        </w:rPr>
        <w:t>影响船舶稳性等涉及船舶主要性能及安全的改建。</w:t>
      </w:r>
    </w:p>
    <w:p>
      <w:pPr>
        <w:jc w:val="left"/>
      </w:pPr>
      <w:r>
        <w:rPr>
          <w:rFonts w:hint="eastAsia"/>
        </w:rPr>
        <w:t xml:space="preserve">    对客船载客人数阈值的实质性改变或客船等级的改变应视为重大改建。</w:t>
      </w:r>
    </w:p>
    <w:p>
      <w:pPr>
        <w:jc w:val="left"/>
        <w:rPr>
          <w:u w:val="single"/>
        </w:rPr>
      </w:pPr>
      <w:r>
        <w:rPr>
          <w:rFonts w:hint="eastAsia"/>
        </w:rPr>
        <w:t xml:space="preserve">    具体重大改建特征见各篇章规定。</w:t>
      </w:r>
    </w:p>
    <w:sectPr>
      <w:footerReference r:id="rId5" w:type="default"/>
      <w:footnotePr>
        <w:numFmt w:val="decimalEnclosedCircleChinese"/>
      </w:footnotePr>
      <w:type w:val="continuous"/>
      <w:pgSz w:w="11907" w:h="16840"/>
      <w:pgMar w:top="1418" w:right="1134" w:bottom="1418" w:left="1418" w:header="964" w:footer="567"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outside" w:y="1"/>
      <w:rPr>
        <w:rStyle w:val="14"/>
      </w:rPr>
    </w:pPr>
    <w:r>
      <w:fldChar w:fldCharType="begin"/>
    </w:r>
    <w:r>
      <w:rPr>
        <w:rStyle w:val="14"/>
      </w:rPr>
      <w:instrText xml:space="preserve">PAGE  </w:instrText>
    </w:r>
    <w:r>
      <w:fldChar w:fldCharType="separate"/>
    </w:r>
    <w:r>
      <w:rPr>
        <w:rStyle w:val="14"/>
      </w:rPr>
      <w:t>2</w:t>
    </w:r>
    <w:r>
      <w:fldChar w:fldCharType="end"/>
    </w:r>
  </w:p>
  <w:p>
    <w:pPr>
      <w:pStyle w:val="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outside" w:y="1"/>
      <w:rPr>
        <w:rStyle w:val="14"/>
      </w:rPr>
    </w:pPr>
    <w:r>
      <w:rPr>
        <w:rStyle w:val="14"/>
        <w:b/>
      </w:rPr>
      <w:t>·</w:t>
    </w:r>
    <w:r>
      <w:rPr>
        <w:rStyle w:val="14"/>
        <w:rFonts w:hint="eastAsia"/>
        <w:b/>
      </w:rPr>
      <w:t xml:space="preserve"> </w:t>
    </w:r>
    <w:r>
      <w:fldChar w:fldCharType="begin"/>
    </w:r>
    <w:r>
      <w:rPr>
        <w:rStyle w:val="14"/>
      </w:rPr>
      <w:instrText xml:space="preserve">PAGE  </w:instrText>
    </w:r>
    <w:r>
      <w:fldChar w:fldCharType="separate"/>
    </w:r>
    <w:r>
      <w:rPr>
        <w:rStyle w:val="14"/>
      </w:rPr>
      <w:t>2</w:t>
    </w:r>
    <w:r>
      <w:fldChar w:fldCharType="end"/>
    </w:r>
    <w:r>
      <w:rPr>
        <w:rStyle w:val="14"/>
        <w:rFonts w:hint="eastAsia"/>
      </w:rPr>
      <w:t xml:space="preserve"> </w:t>
    </w:r>
    <w:r>
      <w:rPr>
        <w:rStyle w:val="14"/>
        <w:b/>
      </w:rPr>
      <w:t>·</w:t>
    </w:r>
  </w:p>
  <w:p>
    <w:pPr>
      <w:pStyle w:val="7"/>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27"/>
        <w:rPr>
          <w:rFonts w:hint="eastAsia" w:asciiTheme="majorEastAsia" w:hAnsiTheme="majorEastAsia" w:eastAsiaTheme="majorEastAsia" w:cstheme="majorEastAsia"/>
          <w:color w:val="FF0000"/>
          <w:sz w:val="18"/>
          <w:szCs w:val="18"/>
          <w:u w:val="single"/>
          <w:lang w:eastAsia="zh-CN"/>
        </w:rPr>
      </w:pPr>
      <w:r>
        <w:rPr>
          <w:rStyle w:val="15"/>
          <w:rFonts w:hint="eastAsia" w:asciiTheme="majorEastAsia" w:hAnsiTheme="majorEastAsia" w:eastAsiaTheme="majorEastAsia" w:cstheme="majorEastAsia"/>
          <w:color w:val="FF0000"/>
          <w:sz w:val="18"/>
          <w:szCs w:val="18"/>
          <w:u w:val="single"/>
        </w:rPr>
        <w:footnoteRef/>
      </w:r>
      <w:r>
        <w:rPr>
          <w:rFonts w:hint="eastAsia" w:asciiTheme="majorEastAsia" w:hAnsiTheme="majorEastAsia" w:eastAsiaTheme="majorEastAsia" w:cstheme="majorEastAsia"/>
          <w:color w:val="FF0000"/>
          <w:sz w:val="18"/>
          <w:szCs w:val="18"/>
          <w:u w:val="single"/>
        </w:rPr>
        <w:t xml:space="preserve"> </w:t>
      </w:r>
      <w:r>
        <w:rPr>
          <w:rFonts w:hint="eastAsia" w:asciiTheme="majorEastAsia" w:hAnsiTheme="majorEastAsia" w:eastAsiaTheme="majorEastAsia" w:cstheme="majorEastAsia"/>
          <w:color w:val="FF0000"/>
          <w:sz w:val="18"/>
          <w:szCs w:val="18"/>
          <w:u w:val="single"/>
          <w:lang w:eastAsia="zh-CN"/>
        </w:rPr>
        <w:t>改变</w:t>
      </w:r>
      <w:r>
        <w:rPr>
          <w:rFonts w:hint="eastAsia" w:asciiTheme="majorEastAsia" w:hAnsiTheme="majorEastAsia" w:eastAsiaTheme="majorEastAsia" w:cstheme="majorEastAsia"/>
          <w:color w:val="FF0000"/>
          <w:sz w:val="18"/>
          <w:szCs w:val="18"/>
          <w:u w:val="single"/>
        </w:rPr>
        <w:t>主推进系统系指</w:t>
      </w:r>
      <w:r>
        <w:rPr>
          <w:rFonts w:hint="eastAsia" w:asciiTheme="majorEastAsia" w:hAnsiTheme="majorEastAsia" w:eastAsiaTheme="majorEastAsia" w:cstheme="majorEastAsia"/>
          <w:color w:val="FF0000"/>
          <w:sz w:val="18"/>
          <w:szCs w:val="18"/>
          <w:u w:val="single"/>
          <w:lang w:eastAsia="zh-CN"/>
        </w:rPr>
        <w:t>：</w:t>
      </w:r>
    </w:p>
    <w:p>
      <w:pPr>
        <w:pStyle w:val="27"/>
        <w:numPr>
          <w:ilvl w:val="0"/>
          <w:numId w:val="0"/>
        </w:numPr>
        <w:ind w:firstLine="180" w:firstLineChars="100"/>
        <w:rPr>
          <w:rFonts w:hint="eastAsia" w:asciiTheme="majorEastAsia" w:hAnsiTheme="majorEastAsia" w:eastAsiaTheme="majorEastAsia" w:cstheme="majorEastAsia"/>
          <w:color w:val="FF0000"/>
          <w:sz w:val="18"/>
          <w:szCs w:val="18"/>
          <w:u w:val="single"/>
          <w:lang w:eastAsia="zh-CN"/>
        </w:rPr>
      </w:pPr>
      <w:r>
        <w:rPr>
          <w:rFonts w:hint="eastAsia" w:asciiTheme="majorEastAsia" w:hAnsiTheme="majorEastAsia" w:eastAsiaTheme="majorEastAsia" w:cstheme="majorEastAsia"/>
          <w:color w:val="FF0000"/>
          <w:sz w:val="18"/>
          <w:szCs w:val="18"/>
          <w:u w:val="single"/>
          <w:lang w:val="en-US" w:eastAsia="zh-CN"/>
        </w:rPr>
        <w:t>a.</w:t>
      </w:r>
      <w:r>
        <w:rPr>
          <w:rFonts w:hint="eastAsia" w:asciiTheme="majorEastAsia" w:hAnsiTheme="majorEastAsia" w:eastAsiaTheme="majorEastAsia" w:cstheme="majorEastAsia"/>
          <w:color w:val="FF0000"/>
          <w:sz w:val="18"/>
          <w:szCs w:val="18"/>
          <w:u w:val="single"/>
        </w:rPr>
        <w:t>主推进系统型式</w:t>
      </w:r>
      <w:r>
        <w:rPr>
          <w:rFonts w:hint="eastAsia" w:asciiTheme="majorEastAsia" w:hAnsiTheme="majorEastAsia" w:eastAsiaTheme="majorEastAsia" w:cstheme="majorEastAsia"/>
          <w:color w:val="FF0000"/>
          <w:sz w:val="18"/>
          <w:szCs w:val="18"/>
          <w:u w:val="single"/>
          <w:lang w:eastAsia="zh-CN"/>
        </w:rPr>
        <w:t>的改变，如内燃机改为汽轮机；</w:t>
      </w:r>
    </w:p>
    <w:p>
      <w:pPr>
        <w:pStyle w:val="27"/>
        <w:numPr>
          <w:ilvl w:val="0"/>
          <w:numId w:val="0"/>
        </w:numPr>
        <w:ind w:firstLine="180" w:firstLineChars="100"/>
        <w:rPr>
          <w:rFonts w:hint="eastAsia" w:asciiTheme="majorEastAsia" w:hAnsiTheme="majorEastAsia" w:eastAsiaTheme="majorEastAsia" w:cstheme="majorEastAsia"/>
          <w:color w:val="FF0000"/>
          <w:sz w:val="18"/>
          <w:szCs w:val="18"/>
          <w:u w:val="single"/>
          <w:lang w:eastAsia="zh-CN"/>
        </w:rPr>
      </w:pPr>
      <w:r>
        <w:rPr>
          <w:rFonts w:hint="eastAsia" w:asciiTheme="majorEastAsia" w:hAnsiTheme="majorEastAsia" w:eastAsiaTheme="majorEastAsia" w:cstheme="majorEastAsia"/>
          <w:color w:val="FF0000"/>
          <w:sz w:val="18"/>
          <w:szCs w:val="18"/>
          <w:u w:val="single"/>
          <w:lang w:val="en-US" w:eastAsia="zh-CN"/>
        </w:rPr>
        <w:t>b.未改变推进装置的型式，但</w:t>
      </w:r>
      <w:r>
        <w:rPr>
          <w:rFonts w:hint="eastAsia" w:asciiTheme="majorEastAsia" w:hAnsiTheme="majorEastAsia" w:eastAsiaTheme="majorEastAsia" w:cstheme="majorEastAsia"/>
          <w:color w:val="FF0000"/>
          <w:sz w:val="18"/>
          <w:szCs w:val="18"/>
          <w:u w:val="single"/>
          <w:lang w:eastAsia="zh-CN"/>
        </w:rPr>
        <w:t>推进装置的更改</w:t>
      </w:r>
      <w:r>
        <w:rPr>
          <w:rFonts w:hint="eastAsia" w:asciiTheme="majorEastAsia" w:hAnsiTheme="majorEastAsia" w:eastAsiaTheme="majorEastAsia" w:cstheme="majorEastAsia"/>
          <w:color w:val="FF0000"/>
          <w:sz w:val="18"/>
          <w:szCs w:val="18"/>
          <w:u w:val="single"/>
        </w:rPr>
        <w:t>影响到机浆匹配并进而引起轴系及螺旋桨的重大改动</w:t>
      </w:r>
      <w:r>
        <w:rPr>
          <w:rFonts w:hint="eastAsia" w:asciiTheme="majorEastAsia" w:hAnsiTheme="majorEastAsia" w:eastAsiaTheme="majorEastAsia" w:cstheme="majorEastAsia"/>
          <w:color w:val="FF0000"/>
          <w:sz w:val="18"/>
          <w:szCs w:val="18"/>
          <w:u w:val="single"/>
          <w:lang w:eastAsia="zh-CN"/>
        </w:rPr>
        <w:t>。</w:t>
      </w:r>
    </w:p>
    <w:p>
      <w:pPr>
        <w:pStyle w:val="9"/>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C892DB"/>
    <w:multiLevelType w:val="singleLevel"/>
    <w:tmpl w:val="59C892D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812"/>
    <w:rsid w:val="00007994"/>
    <w:rsid w:val="000115F4"/>
    <w:rsid w:val="000152DF"/>
    <w:rsid w:val="000224E3"/>
    <w:rsid w:val="0006655E"/>
    <w:rsid w:val="000806E7"/>
    <w:rsid w:val="000C768A"/>
    <w:rsid w:val="000C76E4"/>
    <w:rsid w:val="000E16D4"/>
    <w:rsid w:val="000E16DC"/>
    <w:rsid w:val="000E4911"/>
    <w:rsid w:val="001125BE"/>
    <w:rsid w:val="00116356"/>
    <w:rsid w:val="00120D5D"/>
    <w:rsid w:val="00123AD6"/>
    <w:rsid w:val="0012435D"/>
    <w:rsid w:val="001318B9"/>
    <w:rsid w:val="001426DF"/>
    <w:rsid w:val="00156AF0"/>
    <w:rsid w:val="0015724F"/>
    <w:rsid w:val="001671D6"/>
    <w:rsid w:val="00172A27"/>
    <w:rsid w:val="001732A2"/>
    <w:rsid w:val="00180C9F"/>
    <w:rsid w:val="0018444E"/>
    <w:rsid w:val="00193B17"/>
    <w:rsid w:val="001B0107"/>
    <w:rsid w:val="001B2C8E"/>
    <w:rsid w:val="001D405A"/>
    <w:rsid w:val="001E358B"/>
    <w:rsid w:val="00217D12"/>
    <w:rsid w:val="0022421F"/>
    <w:rsid w:val="00230C7D"/>
    <w:rsid w:val="0023509E"/>
    <w:rsid w:val="00241239"/>
    <w:rsid w:val="00257C81"/>
    <w:rsid w:val="002723A6"/>
    <w:rsid w:val="00284E34"/>
    <w:rsid w:val="002916B7"/>
    <w:rsid w:val="002A3CC4"/>
    <w:rsid w:val="002A6869"/>
    <w:rsid w:val="002A7B1E"/>
    <w:rsid w:val="002B0ACF"/>
    <w:rsid w:val="002C1FA4"/>
    <w:rsid w:val="002D087B"/>
    <w:rsid w:val="002D2ED7"/>
    <w:rsid w:val="002D6749"/>
    <w:rsid w:val="002E3456"/>
    <w:rsid w:val="0030195C"/>
    <w:rsid w:val="0030578F"/>
    <w:rsid w:val="00321CDC"/>
    <w:rsid w:val="00342355"/>
    <w:rsid w:val="0036138A"/>
    <w:rsid w:val="003675DE"/>
    <w:rsid w:val="00374B57"/>
    <w:rsid w:val="00383CB6"/>
    <w:rsid w:val="00384790"/>
    <w:rsid w:val="00387076"/>
    <w:rsid w:val="0038725F"/>
    <w:rsid w:val="00387710"/>
    <w:rsid w:val="003906F9"/>
    <w:rsid w:val="003B4879"/>
    <w:rsid w:val="003C102E"/>
    <w:rsid w:val="003C2D38"/>
    <w:rsid w:val="003D4C9C"/>
    <w:rsid w:val="003E16BB"/>
    <w:rsid w:val="003E2915"/>
    <w:rsid w:val="003E7865"/>
    <w:rsid w:val="003F1E19"/>
    <w:rsid w:val="003F31C7"/>
    <w:rsid w:val="00407032"/>
    <w:rsid w:val="00414250"/>
    <w:rsid w:val="00441731"/>
    <w:rsid w:val="00445135"/>
    <w:rsid w:val="00454B55"/>
    <w:rsid w:val="00454E47"/>
    <w:rsid w:val="00465C98"/>
    <w:rsid w:val="00476E5B"/>
    <w:rsid w:val="00482CD5"/>
    <w:rsid w:val="00491450"/>
    <w:rsid w:val="00491F62"/>
    <w:rsid w:val="00495384"/>
    <w:rsid w:val="004A373E"/>
    <w:rsid w:val="004A52C8"/>
    <w:rsid w:val="004C1EBF"/>
    <w:rsid w:val="004D0196"/>
    <w:rsid w:val="004D1320"/>
    <w:rsid w:val="004E120B"/>
    <w:rsid w:val="004E5BC0"/>
    <w:rsid w:val="004E73BF"/>
    <w:rsid w:val="004F25B4"/>
    <w:rsid w:val="004F32F8"/>
    <w:rsid w:val="005077C1"/>
    <w:rsid w:val="00507A3A"/>
    <w:rsid w:val="00511EBD"/>
    <w:rsid w:val="005142B3"/>
    <w:rsid w:val="00515D73"/>
    <w:rsid w:val="00524962"/>
    <w:rsid w:val="0053209B"/>
    <w:rsid w:val="005349FC"/>
    <w:rsid w:val="00537714"/>
    <w:rsid w:val="0054013D"/>
    <w:rsid w:val="00541380"/>
    <w:rsid w:val="005430E3"/>
    <w:rsid w:val="0054684D"/>
    <w:rsid w:val="00561DAA"/>
    <w:rsid w:val="005630C8"/>
    <w:rsid w:val="00566A23"/>
    <w:rsid w:val="00566E66"/>
    <w:rsid w:val="00577C60"/>
    <w:rsid w:val="00592521"/>
    <w:rsid w:val="005961F0"/>
    <w:rsid w:val="00596527"/>
    <w:rsid w:val="005A095A"/>
    <w:rsid w:val="005A28AB"/>
    <w:rsid w:val="005A61C4"/>
    <w:rsid w:val="005B0ADE"/>
    <w:rsid w:val="005B1687"/>
    <w:rsid w:val="005B59A6"/>
    <w:rsid w:val="005B6820"/>
    <w:rsid w:val="005F3A54"/>
    <w:rsid w:val="005F3CD7"/>
    <w:rsid w:val="005F7A81"/>
    <w:rsid w:val="00612BD1"/>
    <w:rsid w:val="00621878"/>
    <w:rsid w:val="006249A1"/>
    <w:rsid w:val="00632166"/>
    <w:rsid w:val="00636AD9"/>
    <w:rsid w:val="006520CC"/>
    <w:rsid w:val="006566E9"/>
    <w:rsid w:val="00657A5C"/>
    <w:rsid w:val="006663D1"/>
    <w:rsid w:val="00667A9A"/>
    <w:rsid w:val="00670D49"/>
    <w:rsid w:val="00683B66"/>
    <w:rsid w:val="00683C5A"/>
    <w:rsid w:val="006868BE"/>
    <w:rsid w:val="00692350"/>
    <w:rsid w:val="006B15B0"/>
    <w:rsid w:val="006E1075"/>
    <w:rsid w:val="006F77C0"/>
    <w:rsid w:val="00700DD0"/>
    <w:rsid w:val="00704A37"/>
    <w:rsid w:val="00713769"/>
    <w:rsid w:val="00722DB0"/>
    <w:rsid w:val="00741332"/>
    <w:rsid w:val="00765A4D"/>
    <w:rsid w:val="00776CF5"/>
    <w:rsid w:val="00777912"/>
    <w:rsid w:val="00783BA8"/>
    <w:rsid w:val="00785424"/>
    <w:rsid w:val="007861E8"/>
    <w:rsid w:val="00790817"/>
    <w:rsid w:val="00793169"/>
    <w:rsid w:val="007973E1"/>
    <w:rsid w:val="00797FD8"/>
    <w:rsid w:val="007A5CA7"/>
    <w:rsid w:val="007D6B7B"/>
    <w:rsid w:val="007E0058"/>
    <w:rsid w:val="007E307F"/>
    <w:rsid w:val="007E4EFB"/>
    <w:rsid w:val="007E52E1"/>
    <w:rsid w:val="007F47AB"/>
    <w:rsid w:val="008228AB"/>
    <w:rsid w:val="00825AA2"/>
    <w:rsid w:val="008311B5"/>
    <w:rsid w:val="0083544F"/>
    <w:rsid w:val="00850A94"/>
    <w:rsid w:val="00857978"/>
    <w:rsid w:val="0088162D"/>
    <w:rsid w:val="008817E3"/>
    <w:rsid w:val="00884910"/>
    <w:rsid w:val="00895E1C"/>
    <w:rsid w:val="008976BF"/>
    <w:rsid w:val="008A0E63"/>
    <w:rsid w:val="008A1CAD"/>
    <w:rsid w:val="008A4B0E"/>
    <w:rsid w:val="008A6256"/>
    <w:rsid w:val="008C3903"/>
    <w:rsid w:val="008C5D01"/>
    <w:rsid w:val="008C760B"/>
    <w:rsid w:val="008D5DE8"/>
    <w:rsid w:val="008E237A"/>
    <w:rsid w:val="008E4959"/>
    <w:rsid w:val="008E5F07"/>
    <w:rsid w:val="00903F91"/>
    <w:rsid w:val="0092201F"/>
    <w:rsid w:val="0092665C"/>
    <w:rsid w:val="0092770D"/>
    <w:rsid w:val="00934107"/>
    <w:rsid w:val="0094213A"/>
    <w:rsid w:val="00946633"/>
    <w:rsid w:val="00946725"/>
    <w:rsid w:val="00950596"/>
    <w:rsid w:val="00952478"/>
    <w:rsid w:val="00956E49"/>
    <w:rsid w:val="00962EDD"/>
    <w:rsid w:val="00963FE3"/>
    <w:rsid w:val="0097303E"/>
    <w:rsid w:val="00973EAB"/>
    <w:rsid w:val="0097573C"/>
    <w:rsid w:val="0099155B"/>
    <w:rsid w:val="009941D7"/>
    <w:rsid w:val="00996C7A"/>
    <w:rsid w:val="009A3E38"/>
    <w:rsid w:val="009A4166"/>
    <w:rsid w:val="009B09E6"/>
    <w:rsid w:val="009C3141"/>
    <w:rsid w:val="009C6391"/>
    <w:rsid w:val="009D155E"/>
    <w:rsid w:val="009E06CA"/>
    <w:rsid w:val="009F0E05"/>
    <w:rsid w:val="009F2044"/>
    <w:rsid w:val="009F4680"/>
    <w:rsid w:val="009F7ED0"/>
    <w:rsid w:val="00A041CA"/>
    <w:rsid w:val="00A0497C"/>
    <w:rsid w:val="00A07DA0"/>
    <w:rsid w:val="00A07E19"/>
    <w:rsid w:val="00A17C17"/>
    <w:rsid w:val="00A4383F"/>
    <w:rsid w:val="00A62315"/>
    <w:rsid w:val="00A67E99"/>
    <w:rsid w:val="00A72DCF"/>
    <w:rsid w:val="00A77628"/>
    <w:rsid w:val="00AA4C0F"/>
    <w:rsid w:val="00AA4DF9"/>
    <w:rsid w:val="00AA53EB"/>
    <w:rsid w:val="00AB263B"/>
    <w:rsid w:val="00AB3FE0"/>
    <w:rsid w:val="00AB46D3"/>
    <w:rsid w:val="00AE01D1"/>
    <w:rsid w:val="00AE2FD6"/>
    <w:rsid w:val="00AE4AA7"/>
    <w:rsid w:val="00AE6459"/>
    <w:rsid w:val="00AE6CDF"/>
    <w:rsid w:val="00AF4973"/>
    <w:rsid w:val="00B05262"/>
    <w:rsid w:val="00B14E7D"/>
    <w:rsid w:val="00B150E8"/>
    <w:rsid w:val="00B34B58"/>
    <w:rsid w:val="00B364AC"/>
    <w:rsid w:val="00B369DC"/>
    <w:rsid w:val="00B374BA"/>
    <w:rsid w:val="00B41366"/>
    <w:rsid w:val="00B41CBF"/>
    <w:rsid w:val="00B4499D"/>
    <w:rsid w:val="00B517C9"/>
    <w:rsid w:val="00B53E08"/>
    <w:rsid w:val="00B5520E"/>
    <w:rsid w:val="00B73E8F"/>
    <w:rsid w:val="00BB3616"/>
    <w:rsid w:val="00BC147C"/>
    <w:rsid w:val="00BC3AB9"/>
    <w:rsid w:val="00BC435E"/>
    <w:rsid w:val="00BD2923"/>
    <w:rsid w:val="00BD5A2E"/>
    <w:rsid w:val="00BF61B0"/>
    <w:rsid w:val="00C113F4"/>
    <w:rsid w:val="00C13771"/>
    <w:rsid w:val="00C13885"/>
    <w:rsid w:val="00C14FFB"/>
    <w:rsid w:val="00C16185"/>
    <w:rsid w:val="00C20117"/>
    <w:rsid w:val="00C22B91"/>
    <w:rsid w:val="00C27E9F"/>
    <w:rsid w:val="00C31353"/>
    <w:rsid w:val="00C33C69"/>
    <w:rsid w:val="00C351FA"/>
    <w:rsid w:val="00C360B3"/>
    <w:rsid w:val="00C40719"/>
    <w:rsid w:val="00C5381C"/>
    <w:rsid w:val="00C54605"/>
    <w:rsid w:val="00C60E17"/>
    <w:rsid w:val="00C62819"/>
    <w:rsid w:val="00C6481B"/>
    <w:rsid w:val="00C66C98"/>
    <w:rsid w:val="00C722D2"/>
    <w:rsid w:val="00C738F0"/>
    <w:rsid w:val="00C82C9E"/>
    <w:rsid w:val="00C8489D"/>
    <w:rsid w:val="00C941B9"/>
    <w:rsid w:val="00C97DF9"/>
    <w:rsid w:val="00CA4C43"/>
    <w:rsid w:val="00CB4EDA"/>
    <w:rsid w:val="00CB7D65"/>
    <w:rsid w:val="00CC1D3F"/>
    <w:rsid w:val="00CC1D84"/>
    <w:rsid w:val="00CE4DF2"/>
    <w:rsid w:val="00CF339F"/>
    <w:rsid w:val="00D00B3E"/>
    <w:rsid w:val="00D22E23"/>
    <w:rsid w:val="00D3629C"/>
    <w:rsid w:val="00D36B69"/>
    <w:rsid w:val="00D37557"/>
    <w:rsid w:val="00D56E0E"/>
    <w:rsid w:val="00D574BC"/>
    <w:rsid w:val="00D644B1"/>
    <w:rsid w:val="00D74196"/>
    <w:rsid w:val="00D75A22"/>
    <w:rsid w:val="00D8004F"/>
    <w:rsid w:val="00D8465D"/>
    <w:rsid w:val="00D8754C"/>
    <w:rsid w:val="00D92AC0"/>
    <w:rsid w:val="00D94892"/>
    <w:rsid w:val="00D94B4E"/>
    <w:rsid w:val="00DA2EFB"/>
    <w:rsid w:val="00DC09DD"/>
    <w:rsid w:val="00DC1285"/>
    <w:rsid w:val="00DC161B"/>
    <w:rsid w:val="00DC17D5"/>
    <w:rsid w:val="00DC7CFE"/>
    <w:rsid w:val="00DD09BD"/>
    <w:rsid w:val="00DD0E2A"/>
    <w:rsid w:val="00DD7025"/>
    <w:rsid w:val="00DE19AA"/>
    <w:rsid w:val="00DE458C"/>
    <w:rsid w:val="00DE478B"/>
    <w:rsid w:val="00DF0480"/>
    <w:rsid w:val="00DF0A50"/>
    <w:rsid w:val="00DF385E"/>
    <w:rsid w:val="00DF6B74"/>
    <w:rsid w:val="00E00295"/>
    <w:rsid w:val="00E0255B"/>
    <w:rsid w:val="00E05699"/>
    <w:rsid w:val="00E0696D"/>
    <w:rsid w:val="00E07215"/>
    <w:rsid w:val="00E14C07"/>
    <w:rsid w:val="00E21146"/>
    <w:rsid w:val="00E226CB"/>
    <w:rsid w:val="00E25992"/>
    <w:rsid w:val="00E421D0"/>
    <w:rsid w:val="00E4437C"/>
    <w:rsid w:val="00E45E17"/>
    <w:rsid w:val="00E51D1F"/>
    <w:rsid w:val="00E53D11"/>
    <w:rsid w:val="00E5717F"/>
    <w:rsid w:val="00E70C2B"/>
    <w:rsid w:val="00E808DE"/>
    <w:rsid w:val="00E80920"/>
    <w:rsid w:val="00E844F0"/>
    <w:rsid w:val="00E90897"/>
    <w:rsid w:val="00E950D4"/>
    <w:rsid w:val="00EA2D28"/>
    <w:rsid w:val="00EB3186"/>
    <w:rsid w:val="00EB58A4"/>
    <w:rsid w:val="00EC18FD"/>
    <w:rsid w:val="00EC5F78"/>
    <w:rsid w:val="00ED3525"/>
    <w:rsid w:val="00EE0EAA"/>
    <w:rsid w:val="00EE31EE"/>
    <w:rsid w:val="00F04C64"/>
    <w:rsid w:val="00F1264E"/>
    <w:rsid w:val="00F12B26"/>
    <w:rsid w:val="00F20D53"/>
    <w:rsid w:val="00F658D4"/>
    <w:rsid w:val="00F8107B"/>
    <w:rsid w:val="00FB0448"/>
    <w:rsid w:val="00FB0521"/>
    <w:rsid w:val="00FB07F9"/>
    <w:rsid w:val="00FB33D5"/>
    <w:rsid w:val="00FB4595"/>
    <w:rsid w:val="00FC0DFB"/>
    <w:rsid w:val="00FD353C"/>
    <w:rsid w:val="00FF455C"/>
    <w:rsid w:val="046E496B"/>
    <w:rsid w:val="048424CA"/>
    <w:rsid w:val="066A181E"/>
    <w:rsid w:val="06B74A11"/>
    <w:rsid w:val="06F923B5"/>
    <w:rsid w:val="07DC7220"/>
    <w:rsid w:val="08712DFC"/>
    <w:rsid w:val="089D6943"/>
    <w:rsid w:val="08B47CAE"/>
    <w:rsid w:val="08CE2E50"/>
    <w:rsid w:val="08EE4403"/>
    <w:rsid w:val="09947081"/>
    <w:rsid w:val="09D95315"/>
    <w:rsid w:val="09E73F8A"/>
    <w:rsid w:val="0A7D0D4A"/>
    <w:rsid w:val="0A8E6B51"/>
    <w:rsid w:val="0BB47BEC"/>
    <w:rsid w:val="0C1701F9"/>
    <w:rsid w:val="0C512C61"/>
    <w:rsid w:val="0CDA6140"/>
    <w:rsid w:val="0CFC41BF"/>
    <w:rsid w:val="0D0933F8"/>
    <w:rsid w:val="0D5B585B"/>
    <w:rsid w:val="0FB80C60"/>
    <w:rsid w:val="104A067D"/>
    <w:rsid w:val="11A4179D"/>
    <w:rsid w:val="12AE0220"/>
    <w:rsid w:val="137325EF"/>
    <w:rsid w:val="149C059B"/>
    <w:rsid w:val="14FB5D8A"/>
    <w:rsid w:val="14FF04F6"/>
    <w:rsid w:val="16190BB8"/>
    <w:rsid w:val="16B930E1"/>
    <w:rsid w:val="16F06BA0"/>
    <w:rsid w:val="173D55B9"/>
    <w:rsid w:val="174816FA"/>
    <w:rsid w:val="1864755E"/>
    <w:rsid w:val="189D753B"/>
    <w:rsid w:val="18CD2C96"/>
    <w:rsid w:val="191A5804"/>
    <w:rsid w:val="19504FB8"/>
    <w:rsid w:val="197309D4"/>
    <w:rsid w:val="1988139E"/>
    <w:rsid w:val="1A074286"/>
    <w:rsid w:val="1A2B7D67"/>
    <w:rsid w:val="1A825684"/>
    <w:rsid w:val="1B150BEA"/>
    <w:rsid w:val="1B3579AD"/>
    <w:rsid w:val="1CA8718C"/>
    <w:rsid w:val="1D232C49"/>
    <w:rsid w:val="1D5A51C9"/>
    <w:rsid w:val="1E63420A"/>
    <w:rsid w:val="1E9D45D9"/>
    <w:rsid w:val="1EC151B9"/>
    <w:rsid w:val="1F151ED0"/>
    <w:rsid w:val="1F724EA0"/>
    <w:rsid w:val="1F9F36BB"/>
    <w:rsid w:val="1FEC1D98"/>
    <w:rsid w:val="201D746F"/>
    <w:rsid w:val="20B943A3"/>
    <w:rsid w:val="21D57E94"/>
    <w:rsid w:val="21E16AB2"/>
    <w:rsid w:val="22197FDC"/>
    <w:rsid w:val="231A45C1"/>
    <w:rsid w:val="263F0E55"/>
    <w:rsid w:val="26C27B28"/>
    <w:rsid w:val="26CD4539"/>
    <w:rsid w:val="279A222B"/>
    <w:rsid w:val="283D37A6"/>
    <w:rsid w:val="289B6E8E"/>
    <w:rsid w:val="29D95B31"/>
    <w:rsid w:val="2A213597"/>
    <w:rsid w:val="2A6D37B7"/>
    <w:rsid w:val="2E463647"/>
    <w:rsid w:val="2ECA413F"/>
    <w:rsid w:val="2EDD2EA1"/>
    <w:rsid w:val="2F4214B1"/>
    <w:rsid w:val="2F727898"/>
    <w:rsid w:val="2F925EDB"/>
    <w:rsid w:val="319F4C10"/>
    <w:rsid w:val="32AF7527"/>
    <w:rsid w:val="34B46C8E"/>
    <w:rsid w:val="34F55FFE"/>
    <w:rsid w:val="35574C96"/>
    <w:rsid w:val="3593677E"/>
    <w:rsid w:val="35D41356"/>
    <w:rsid w:val="360462D2"/>
    <w:rsid w:val="360C388B"/>
    <w:rsid w:val="368F1E42"/>
    <w:rsid w:val="36B5730A"/>
    <w:rsid w:val="373312FF"/>
    <w:rsid w:val="38483964"/>
    <w:rsid w:val="38BF6A44"/>
    <w:rsid w:val="39023F4F"/>
    <w:rsid w:val="3A006EAA"/>
    <w:rsid w:val="3A0A709F"/>
    <w:rsid w:val="3B717428"/>
    <w:rsid w:val="3B9365F2"/>
    <w:rsid w:val="3D975356"/>
    <w:rsid w:val="3E541C86"/>
    <w:rsid w:val="3E56516A"/>
    <w:rsid w:val="3F244F07"/>
    <w:rsid w:val="3F400B61"/>
    <w:rsid w:val="401B768D"/>
    <w:rsid w:val="40F864BA"/>
    <w:rsid w:val="4127048A"/>
    <w:rsid w:val="41672B97"/>
    <w:rsid w:val="41E95D10"/>
    <w:rsid w:val="42163522"/>
    <w:rsid w:val="42DF6B1C"/>
    <w:rsid w:val="4315633F"/>
    <w:rsid w:val="44662DB3"/>
    <w:rsid w:val="44DC2218"/>
    <w:rsid w:val="44F12517"/>
    <w:rsid w:val="45FF0E46"/>
    <w:rsid w:val="460F56E7"/>
    <w:rsid w:val="4660218E"/>
    <w:rsid w:val="478211D0"/>
    <w:rsid w:val="47942839"/>
    <w:rsid w:val="49BB27CB"/>
    <w:rsid w:val="4AAB5B56"/>
    <w:rsid w:val="4C665080"/>
    <w:rsid w:val="4CCB0F50"/>
    <w:rsid w:val="4D1115E5"/>
    <w:rsid w:val="4D9C3A9B"/>
    <w:rsid w:val="4DA241F8"/>
    <w:rsid w:val="4F19413D"/>
    <w:rsid w:val="4F3A394C"/>
    <w:rsid w:val="4F682711"/>
    <w:rsid w:val="506F2C70"/>
    <w:rsid w:val="50883ACF"/>
    <w:rsid w:val="516976CC"/>
    <w:rsid w:val="521E73DE"/>
    <w:rsid w:val="524B5280"/>
    <w:rsid w:val="52EF3C89"/>
    <w:rsid w:val="535626A5"/>
    <w:rsid w:val="53B73F7B"/>
    <w:rsid w:val="54236047"/>
    <w:rsid w:val="545B52F9"/>
    <w:rsid w:val="54F17B95"/>
    <w:rsid w:val="553034C6"/>
    <w:rsid w:val="55B71BF8"/>
    <w:rsid w:val="55B97302"/>
    <w:rsid w:val="55BB5526"/>
    <w:rsid w:val="5639235B"/>
    <w:rsid w:val="573B34CF"/>
    <w:rsid w:val="573D7EC5"/>
    <w:rsid w:val="5760124B"/>
    <w:rsid w:val="580567C9"/>
    <w:rsid w:val="588C70CE"/>
    <w:rsid w:val="58AA11B8"/>
    <w:rsid w:val="58B8256F"/>
    <w:rsid w:val="58C5339B"/>
    <w:rsid w:val="59247790"/>
    <w:rsid w:val="59837A0F"/>
    <w:rsid w:val="5989440E"/>
    <w:rsid w:val="59B30609"/>
    <w:rsid w:val="5A722714"/>
    <w:rsid w:val="5C1066F4"/>
    <w:rsid w:val="5C1E44CC"/>
    <w:rsid w:val="5C8E22F5"/>
    <w:rsid w:val="5CEE325C"/>
    <w:rsid w:val="5D487175"/>
    <w:rsid w:val="5D8B1AB5"/>
    <w:rsid w:val="5DD414AB"/>
    <w:rsid w:val="5E362859"/>
    <w:rsid w:val="5ECD4A2D"/>
    <w:rsid w:val="5ED636AB"/>
    <w:rsid w:val="60491F44"/>
    <w:rsid w:val="60E7319F"/>
    <w:rsid w:val="61A131EC"/>
    <w:rsid w:val="61B555F6"/>
    <w:rsid w:val="62AD2681"/>
    <w:rsid w:val="64395C0C"/>
    <w:rsid w:val="65FC4611"/>
    <w:rsid w:val="66E84F11"/>
    <w:rsid w:val="689347B5"/>
    <w:rsid w:val="69733F3B"/>
    <w:rsid w:val="69796DE3"/>
    <w:rsid w:val="69842B56"/>
    <w:rsid w:val="6AB915EB"/>
    <w:rsid w:val="6AE0213C"/>
    <w:rsid w:val="6AFE381F"/>
    <w:rsid w:val="6B052BAE"/>
    <w:rsid w:val="6B6A0C56"/>
    <w:rsid w:val="6B873C38"/>
    <w:rsid w:val="6C026BA5"/>
    <w:rsid w:val="6C2635DF"/>
    <w:rsid w:val="6C2C1D05"/>
    <w:rsid w:val="6C4244CE"/>
    <w:rsid w:val="6C627A7F"/>
    <w:rsid w:val="6CE32F4E"/>
    <w:rsid w:val="6D3904D5"/>
    <w:rsid w:val="6E8B18C7"/>
    <w:rsid w:val="6FB77C04"/>
    <w:rsid w:val="704B47B4"/>
    <w:rsid w:val="721827E2"/>
    <w:rsid w:val="732F7D30"/>
    <w:rsid w:val="7347046B"/>
    <w:rsid w:val="73597A7D"/>
    <w:rsid w:val="737013D6"/>
    <w:rsid w:val="73BE37ED"/>
    <w:rsid w:val="740C01A2"/>
    <w:rsid w:val="75075B74"/>
    <w:rsid w:val="763D04EE"/>
    <w:rsid w:val="76FC6526"/>
    <w:rsid w:val="77F47335"/>
    <w:rsid w:val="7A16321E"/>
    <w:rsid w:val="7A502252"/>
    <w:rsid w:val="7A9E6AC0"/>
    <w:rsid w:val="7AA42CB7"/>
    <w:rsid w:val="7BA47A3B"/>
    <w:rsid w:val="7C9A0911"/>
    <w:rsid w:val="7CAA5C6F"/>
    <w:rsid w:val="7CFC7014"/>
    <w:rsid w:val="7D060E45"/>
    <w:rsid w:val="7D97432D"/>
    <w:rsid w:val="7F6B0A61"/>
    <w:rsid w:val="7F96298F"/>
    <w:rsid w:val="7FF828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qFormat="1" w:unhideWhenUsed="0" w:uiPriority="0"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adjustRightInd w:val="0"/>
      <w:spacing w:before="80" w:after="120" w:line="312" w:lineRule="atLeast"/>
      <w:textAlignment w:val="baseline"/>
      <w:outlineLvl w:val="0"/>
    </w:pPr>
    <w:rPr>
      <w:b/>
      <w:kern w:val="28"/>
      <w:sz w:val="22"/>
      <w:szCs w:val="20"/>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qFormat/>
    <w:uiPriority w:val="0"/>
    <w:rPr>
      <w:rFonts w:ascii="宋体" w:hAnsi="Courier New"/>
    </w:rPr>
  </w:style>
  <w:style w:type="paragraph" w:styleId="4">
    <w:name w:val="Date"/>
    <w:basedOn w:val="1"/>
    <w:next w:val="1"/>
    <w:link w:val="18"/>
    <w:unhideWhenUsed/>
    <w:qFormat/>
    <w:uiPriority w:val="99"/>
    <w:pPr>
      <w:ind w:left="100" w:leftChars="2500"/>
    </w:pPr>
  </w:style>
  <w:style w:type="paragraph" w:styleId="5">
    <w:name w:val="endnote text"/>
    <w:basedOn w:val="1"/>
    <w:link w:val="26"/>
    <w:semiHidden/>
    <w:unhideWhenUsed/>
    <w:qFormat/>
    <w:uiPriority w:val="99"/>
    <w:pPr>
      <w:snapToGrid w:val="0"/>
      <w:jc w:val="left"/>
    </w:pPr>
  </w:style>
  <w:style w:type="paragraph" w:styleId="6">
    <w:name w:val="Balloon Text"/>
    <w:basedOn w:val="1"/>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footnote text"/>
    <w:basedOn w:val="1"/>
    <w:link w:val="17"/>
    <w:unhideWhenUsed/>
    <w:qFormat/>
    <w:uiPriority w:val="99"/>
    <w:pPr>
      <w:snapToGrid w:val="0"/>
      <w:jc w:val="left"/>
    </w:pPr>
    <w:rPr>
      <w:rFonts w:ascii="Calibri" w:hAnsi="Calibri"/>
      <w:sz w:val="18"/>
      <w:szCs w:val="18"/>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3">
    <w:name w:val="endnote reference"/>
    <w:basedOn w:val="12"/>
    <w:semiHidden/>
    <w:unhideWhenUsed/>
    <w:qFormat/>
    <w:uiPriority w:val="99"/>
    <w:rPr>
      <w:vertAlign w:val="superscript"/>
    </w:rPr>
  </w:style>
  <w:style w:type="character" w:styleId="14">
    <w:name w:val="page number"/>
    <w:basedOn w:val="12"/>
    <w:qFormat/>
    <w:uiPriority w:val="0"/>
  </w:style>
  <w:style w:type="character" w:styleId="15">
    <w:name w:val="footnote reference"/>
    <w:unhideWhenUsed/>
    <w:qFormat/>
    <w:uiPriority w:val="99"/>
    <w:rPr>
      <w:vertAlign w:val="superscript"/>
    </w:rPr>
  </w:style>
  <w:style w:type="character" w:customStyle="1" w:styleId="16">
    <w:name w:val="标题 1 Char"/>
    <w:link w:val="2"/>
    <w:qFormat/>
    <w:uiPriority w:val="0"/>
    <w:rPr>
      <w:b/>
      <w:kern w:val="28"/>
      <w:sz w:val="22"/>
    </w:rPr>
  </w:style>
  <w:style w:type="character" w:customStyle="1" w:styleId="17">
    <w:name w:val="脚注文本 Char"/>
    <w:link w:val="9"/>
    <w:semiHidden/>
    <w:qFormat/>
    <w:uiPriority w:val="99"/>
    <w:rPr>
      <w:rFonts w:ascii="Calibri" w:hAnsi="Calibri"/>
      <w:kern w:val="2"/>
      <w:sz w:val="18"/>
      <w:szCs w:val="18"/>
    </w:rPr>
  </w:style>
  <w:style w:type="character" w:customStyle="1" w:styleId="18">
    <w:name w:val="日期 Char"/>
    <w:link w:val="4"/>
    <w:semiHidden/>
    <w:qFormat/>
    <w:uiPriority w:val="99"/>
    <w:rPr>
      <w:kern w:val="2"/>
      <w:sz w:val="21"/>
      <w:szCs w:val="24"/>
    </w:rPr>
  </w:style>
  <w:style w:type="paragraph" w:customStyle="1" w:styleId="19">
    <w:name w:val="Char Char Char Char Char Char Char Char Char1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0">
    <w:name w:val="Char Char2 Char Char Char Char"/>
    <w:basedOn w:val="1"/>
    <w:qFormat/>
    <w:uiPriority w:val="0"/>
    <w:pPr>
      <w:widowControl/>
      <w:jc w:val="left"/>
    </w:pPr>
  </w:style>
  <w:style w:type="paragraph" w:customStyle="1" w:styleId="21">
    <w:name w:val="列出段落1"/>
    <w:basedOn w:val="1"/>
    <w:qFormat/>
    <w:uiPriority w:val="34"/>
    <w:pPr>
      <w:ind w:firstLine="420" w:firstLineChars="200"/>
    </w:pPr>
  </w:style>
  <w:style w:type="paragraph" w:customStyle="1" w:styleId="22">
    <w:name w:val="Char Char"/>
    <w:basedOn w:val="1"/>
    <w:next w:val="1"/>
    <w:qFormat/>
    <w:uiPriority w:val="0"/>
    <w:pPr>
      <w:widowControl/>
      <w:spacing w:before="120" w:after="120"/>
      <w:jc w:val="left"/>
    </w:pPr>
    <w:rPr>
      <w:rFonts w:ascii="Verdana" w:hAnsi="Verdana" w:eastAsia="Batang"/>
      <w:kern w:val="0"/>
      <w:sz w:val="18"/>
      <w:szCs w:val="20"/>
      <w:lang w:eastAsia="en-US"/>
    </w:rPr>
  </w:style>
  <w:style w:type="paragraph" w:customStyle="1" w:styleId="2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4">
    <w:name w:val="列出段落2"/>
    <w:basedOn w:val="1"/>
    <w:unhideWhenUsed/>
    <w:qFormat/>
    <w:uiPriority w:val="99"/>
    <w:pPr>
      <w:ind w:firstLine="420" w:firstLineChars="200"/>
    </w:pPr>
  </w:style>
  <w:style w:type="paragraph" w:styleId="25">
    <w:name w:val="List Paragraph"/>
    <w:basedOn w:val="1"/>
    <w:qFormat/>
    <w:uiPriority w:val="34"/>
    <w:pPr>
      <w:ind w:firstLine="420" w:firstLineChars="200"/>
    </w:pPr>
  </w:style>
  <w:style w:type="character" w:customStyle="1" w:styleId="26">
    <w:name w:val="尾注文本 Char"/>
    <w:basedOn w:val="12"/>
    <w:link w:val="5"/>
    <w:semiHidden/>
    <w:qFormat/>
    <w:uiPriority w:val="99"/>
    <w:rPr>
      <w:kern w:val="2"/>
      <w:sz w:val="21"/>
      <w:szCs w:val="24"/>
    </w:rPr>
  </w:style>
  <w:style w:type="paragraph" w:customStyle="1" w:styleId="27">
    <w:name w:val="正文1"/>
    <w:qFormat/>
    <w:uiPriority w:val="0"/>
    <w:pPr>
      <w:jc w:val="both"/>
    </w:pPr>
    <w:rPr>
      <w:rFonts w:ascii="Calibri" w:hAnsi="Calibri" w:eastAsia="宋体" w:cs="宋体"/>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61C278-C2AF-4AF8-BB0B-1A79936E9B29}">
  <ds:schemaRefs/>
</ds:datastoreItem>
</file>

<file path=docProps/app.xml><?xml version="1.0" encoding="utf-8"?>
<Properties xmlns="http://schemas.openxmlformats.org/officeDocument/2006/extended-properties" xmlns:vt="http://schemas.openxmlformats.org/officeDocument/2006/docPropsVTypes">
  <Template>Normal.dotm</Template>
  <Pages>3</Pages>
  <Words>75</Words>
  <Characters>428</Characters>
  <Lines>3</Lines>
  <Paragraphs>1</Paragraphs>
  <TotalTime>4</TotalTime>
  <ScaleCrop>false</ScaleCrop>
  <LinksUpToDate>false</LinksUpToDate>
  <CharactersWithSpaces>502</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2017-10-13T05:48:00Z</dcterms:created>
  <dc:creator>yezhu</dc:creator>
  <cp:lastModifiedBy>Bichun</cp:lastModifiedBy>
  <cp:lastPrinted>2011-04-18T02:27:00Z</cp:lastPrinted>
  <dcterms:modified xsi:type="dcterms:W3CDTF">2019-06-27T09:32:01Z</dcterms:modified>
  <dc:title>总    则</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